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55066" w14:textId="22A6ED3B" w:rsidR="00A74A43" w:rsidRPr="0089251B" w:rsidRDefault="00A74A43" w:rsidP="00A74A4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eastAsia="Arial Unicode MS" w:cs="Calibri"/>
          <w:b/>
          <w:bCs/>
          <w:color w:val="000000"/>
          <w:u w:color="000000"/>
          <w:bdr w:val="nil"/>
          <w:lang w:eastAsia="pl-PL"/>
        </w:rPr>
      </w:pPr>
      <w:r w:rsidRPr="0089251B">
        <w:rPr>
          <w:rFonts w:eastAsia="Arial Unicode MS" w:cs="Calibri"/>
          <w:b/>
          <w:bCs/>
          <w:color w:val="000000"/>
          <w:u w:color="000000"/>
          <w:bdr w:val="nil"/>
          <w:lang w:eastAsia="pl-PL"/>
        </w:rPr>
        <w:t xml:space="preserve">Załącznik nr </w:t>
      </w:r>
      <w:r w:rsidR="00A9609F">
        <w:rPr>
          <w:rFonts w:eastAsia="Arial Unicode MS" w:cs="Calibri"/>
          <w:b/>
          <w:bCs/>
          <w:color w:val="000000"/>
          <w:u w:color="000000"/>
          <w:bdr w:val="nil"/>
          <w:lang w:eastAsia="pl-PL"/>
        </w:rPr>
        <w:t>7 do Umowy</w:t>
      </w:r>
    </w:p>
    <w:p w14:paraId="64CA2F4C" w14:textId="77777777" w:rsidR="00A74A43" w:rsidRPr="0089251B" w:rsidRDefault="00A74A43" w:rsidP="00A74A43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60" w:lineRule="auto"/>
        <w:jc w:val="both"/>
        <w:rPr>
          <w:rFonts w:eastAsia="Arial Unicode MS" w:cs="Calibri"/>
          <w:b/>
          <w:bCs/>
          <w:color w:val="000000"/>
          <w:u w:color="000000"/>
          <w:bdr w:val="nil"/>
          <w:lang w:eastAsia="pl-PL"/>
        </w:rPr>
      </w:pPr>
    </w:p>
    <w:p w14:paraId="3B855312" w14:textId="77777777" w:rsidR="00A74A43" w:rsidRPr="0089251B" w:rsidRDefault="00A74A43" w:rsidP="00A74A43">
      <w:pPr>
        <w:pStyle w:val="Nagwek1"/>
      </w:pPr>
      <w:r w:rsidRPr="0089251B">
        <w:t>KLAUZULA SANKCYJNA</w:t>
      </w:r>
    </w:p>
    <w:p w14:paraId="04D0B8ED" w14:textId="77777777" w:rsidR="00A74A43" w:rsidRPr="0089251B" w:rsidRDefault="00A74A43" w:rsidP="00A74A43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60" w:lineRule="auto"/>
        <w:ind w:right="-434"/>
        <w:jc w:val="both"/>
        <w:rPr>
          <w:rFonts w:eastAsia="Arial Unicode MS" w:cs="Calibri"/>
          <w:bCs/>
          <w:color w:val="000000"/>
          <w:szCs w:val="18"/>
          <w:u w:color="000000"/>
          <w:bdr w:val="nil"/>
          <w:lang w:eastAsia="pl-PL"/>
        </w:rPr>
      </w:pPr>
      <w:r w:rsidRPr="0089251B">
        <w:rPr>
          <w:rFonts w:eastAsia="Arial Unicode MS" w:cs="Calibri"/>
          <w:bCs/>
          <w:color w:val="000000"/>
          <w:szCs w:val="18"/>
          <w:u w:color="000000"/>
          <w:bdr w:val="nil"/>
          <w:lang w:eastAsia="pl-PL"/>
        </w:rPr>
        <w:t>Ilekroć poniższe pojęcia pisane wielką literą zostaną użyte w treści niniejszego Załącznika, Strony nadają im znaczenie wskazane w poniższych definicjach:</w:t>
      </w:r>
    </w:p>
    <w:p w14:paraId="56531857" w14:textId="77777777" w:rsidR="00A74A43" w:rsidRPr="0089251B" w:rsidRDefault="00A74A43" w:rsidP="00A74A43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60" w:lineRule="auto"/>
        <w:ind w:left="176" w:hanging="176"/>
        <w:jc w:val="both"/>
        <w:rPr>
          <w:rFonts w:eastAsia="Arial Unicode MS" w:cs="Calibri"/>
          <w:bCs/>
          <w:color w:val="000000"/>
          <w:szCs w:val="18"/>
          <w:u w:color="000000"/>
          <w:bdr w:val="nil"/>
          <w:lang w:eastAsia="pl-PL"/>
        </w:rPr>
      </w:pPr>
    </w:p>
    <w:tbl>
      <w:tblPr>
        <w:tblW w:w="9701" w:type="dxa"/>
        <w:tblLayout w:type="fixed"/>
        <w:tblLook w:val="04A0" w:firstRow="1" w:lastRow="0" w:firstColumn="1" w:lastColumn="0" w:noHBand="0" w:noVBand="1"/>
      </w:tblPr>
      <w:tblGrid>
        <w:gridCol w:w="3119"/>
        <w:gridCol w:w="6582"/>
      </w:tblGrid>
      <w:tr w:rsidR="00A74A43" w:rsidRPr="0089251B" w14:paraId="32D7A805" w14:textId="77777777" w:rsidTr="00916771">
        <w:trPr>
          <w:trHeight w:val="255"/>
        </w:trPr>
        <w:tc>
          <w:tcPr>
            <w:tcW w:w="3119" w:type="dxa"/>
            <w:shd w:val="clear" w:color="auto" w:fill="FFFFFF"/>
            <w:hideMark/>
          </w:tcPr>
          <w:p w14:paraId="4CD99CF1" w14:textId="77777777" w:rsidR="00A74A43" w:rsidRPr="0089251B" w:rsidRDefault="00A74A43" w:rsidP="0091677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 w:line="360" w:lineRule="auto"/>
              <w:ind w:right="-167"/>
              <w:jc w:val="both"/>
              <w:rPr>
                <w:rFonts w:eastAsia="Arial Unicode MS" w:cs="Calibri"/>
                <w:b/>
                <w:bCs/>
                <w:color w:val="000000"/>
                <w:szCs w:val="18"/>
                <w:u w:color="000000"/>
                <w:bdr w:val="nil"/>
                <w:lang w:eastAsia="pl-PL"/>
              </w:rPr>
            </w:pPr>
            <w:r w:rsidRPr="0089251B">
              <w:rPr>
                <w:rFonts w:eastAsia="Arial Unicode MS" w:cs="Calibri"/>
                <w:b/>
                <w:bCs/>
                <w:color w:val="000000"/>
                <w:szCs w:val="18"/>
                <w:u w:color="000000"/>
                <w:bdr w:val="nil"/>
                <w:lang w:eastAsia="pl-PL"/>
              </w:rPr>
              <w:t>Podmiot Objęty Sankcjami</w:t>
            </w:r>
          </w:p>
        </w:tc>
        <w:tc>
          <w:tcPr>
            <w:tcW w:w="6582" w:type="dxa"/>
            <w:shd w:val="clear" w:color="auto" w:fill="FFFFFF"/>
            <w:hideMark/>
          </w:tcPr>
          <w:p w14:paraId="5366B380" w14:textId="77777777" w:rsidR="00A74A43" w:rsidRPr="0089251B" w:rsidRDefault="00A74A43" w:rsidP="0091677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 w:line="360" w:lineRule="auto"/>
              <w:ind w:left="176" w:firstLine="1"/>
              <w:jc w:val="both"/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</w:pPr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t>oznacza podmiot należący do którejkolwiek z poniższych kategorii:</w:t>
            </w:r>
          </w:p>
          <w:p w14:paraId="26010932" w14:textId="77777777" w:rsidR="00A74A43" w:rsidRPr="0089251B" w:rsidRDefault="00A74A43" w:rsidP="00A74A4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120" w:line="360" w:lineRule="auto"/>
              <w:ind w:left="461" w:hanging="284"/>
              <w:jc w:val="both"/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</w:pPr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t>podmiot, o którym mowa w art. 5k ust. 1 Rozporządzenia 833/2014, tj.:</w:t>
            </w:r>
          </w:p>
          <w:p w14:paraId="10CA98E3" w14:textId="77777777" w:rsidR="00A74A43" w:rsidRPr="0089251B" w:rsidRDefault="00A74A43" w:rsidP="00A74A43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120" w:line="360" w:lineRule="auto"/>
              <w:ind w:left="798" w:hanging="337"/>
              <w:jc w:val="both"/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</w:pPr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t>obywatel rosyjski, osoba fizyczna, osoba prawna, podmiot lub organ z siedzibą w Rosji,</w:t>
            </w:r>
          </w:p>
          <w:p w14:paraId="4757E826" w14:textId="77777777" w:rsidR="00A74A43" w:rsidRPr="0089251B" w:rsidRDefault="00A74A43" w:rsidP="00A74A43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120" w:line="360" w:lineRule="auto"/>
              <w:ind w:left="798" w:hanging="337"/>
              <w:jc w:val="both"/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</w:pPr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t>osoba prawna, podmiot lub organ, do której/którego prawa własności bezpośrednio lub pośrednio w ponad 50 % należą do podmiotu lub podmiotów, o którym/których mowa w </w:t>
            </w:r>
            <w:proofErr w:type="spellStart"/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t>ppkt</w:t>
            </w:r>
            <w:proofErr w:type="spellEnd"/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t xml:space="preserve"> (i) powyżej,</w:t>
            </w:r>
          </w:p>
          <w:p w14:paraId="1271CFAD" w14:textId="77777777" w:rsidR="00A74A43" w:rsidRPr="0089251B" w:rsidRDefault="00A74A43" w:rsidP="00A74A43">
            <w:pPr>
              <w:numPr>
                <w:ilvl w:val="3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120" w:line="360" w:lineRule="auto"/>
              <w:ind w:left="798" w:hanging="337"/>
              <w:jc w:val="both"/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</w:pPr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t>osoba fizyczna lub prawna, podmiot lub organ działająca/y</w:t>
            </w:r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br/>
              <w:t xml:space="preserve"> w imieniu lub pod kierunkiem podmiotu lub podmiotów, o którym/których mowa w </w:t>
            </w:r>
            <w:proofErr w:type="spellStart"/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t>ppkt</w:t>
            </w:r>
            <w:proofErr w:type="spellEnd"/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t xml:space="preserve"> (i) lub (ii) powyżej;</w:t>
            </w:r>
          </w:p>
          <w:p w14:paraId="3338D978" w14:textId="77777777" w:rsidR="00A74A43" w:rsidRPr="0089251B" w:rsidRDefault="00A74A43" w:rsidP="00A74A4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120" w:line="360" w:lineRule="auto"/>
              <w:ind w:left="461" w:hanging="284"/>
              <w:jc w:val="both"/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</w:pPr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t xml:space="preserve">podmiot wymieniony w którymkolwiek z wykazów określonych </w:t>
            </w:r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br/>
              <w:t>w Rozporządzeniu 765/2006;</w:t>
            </w:r>
          </w:p>
          <w:p w14:paraId="26FB9E39" w14:textId="77777777" w:rsidR="00A74A43" w:rsidRPr="0089251B" w:rsidRDefault="00A74A43" w:rsidP="00A74A4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120" w:line="360" w:lineRule="auto"/>
              <w:ind w:left="461" w:hanging="284"/>
              <w:jc w:val="both"/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</w:pPr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t xml:space="preserve">podmiot wymieniony w którymkolwiek z wykazów określonych </w:t>
            </w:r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br/>
              <w:t>w Rozporządzeniu 269/2014;</w:t>
            </w:r>
          </w:p>
          <w:p w14:paraId="1DF1AB14" w14:textId="77777777" w:rsidR="00A74A43" w:rsidRPr="0089251B" w:rsidRDefault="00A74A43" w:rsidP="00A74A4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120" w:line="360" w:lineRule="auto"/>
              <w:ind w:left="461" w:hanging="284"/>
              <w:jc w:val="both"/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</w:pPr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t xml:space="preserve">podmiot wpisany na listę, o której mowa w art. 2 ust. 1 Ustawy </w:t>
            </w:r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br/>
              <w:t xml:space="preserve">o przeciwdziałaniu na podstawie decyzji w sprawie wpisu na tę listę rozstrzygającej o zastosowaniu środka, o którym mowa </w:t>
            </w:r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br/>
              <w:t>w art. 1 pkt 3 Ustawy o przeciwdziałaniu;</w:t>
            </w:r>
          </w:p>
          <w:p w14:paraId="5B3CE4D9" w14:textId="77777777" w:rsidR="00A74A43" w:rsidRPr="0089251B" w:rsidRDefault="00A74A43" w:rsidP="00A74A4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120" w:line="360" w:lineRule="auto"/>
              <w:ind w:left="461" w:hanging="284"/>
              <w:jc w:val="both"/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</w:pPr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t>podmiot, którego beneficjentem rzeczywistym w rozumieniu ustawy z dnia 1 marca 2018 r. o przeciwdziałaniu praniu pieniędzy oraz finansowaniu terroryzmu jest, lub po 23 lutego 2022 r. był, podmiot, o którym mowa w lit. a, b, c lub d powyżej;</w:t>
            </w:r>
          </w:p>
          <w:p w14:paraId="4A2436B8" w14:textId="77777777" w:rsidR="00A74A43" w:rsidRPr="0089251B" w:rsidRDefault="00A74A43" w:rsidP="00A74A4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120" w:line="360" w:lineRule="auto"/>
              <w:ind w:left="461" w:hanging="284"/>
              <w:jc w:val="both"/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</w:pPr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lastRenderedPageBreak/>
              <w:t>podmiot, którego jednostką dominującą w rozumieniu art. 3 ust. 1 pkt 37 ustawy z dnia 29 września 1994 r. o rachunkowości, jest lub po 23 lutego 2022 r. był, podmiot, o którym mowa w lit. a, b, c lub d powyżej;</w:t>
            </w:r>
          </w:p>
          <w:p w14:paraId="6A53FB2C" w14:textId="77777777" w:rsidR="00A74A43" w:rsidRPr="0089251B" w:rsidRDefault="00A74A43" w:rsidP="00A74A43">
            <w:pPr>
              <w:numPr>
                <w:ilvl w:val="2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120" w:line="360" w:lineRule="auto"/>
              <w:ind w:left="461" w:hanging="284"/>
              <w:jc w:val="both"/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</w:pPr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t>inny podmiot objęty, na podstawie przepisów prawa obowiązującego w Rzeczypospolitej Polskiej, sankcjami wyłączającymi lub ograniczającymi możliwość zawarcia z nim lub realizacji z nim lub z jego udziałem Umowy;</w:t>
            </w:r>
          </w:p>
        </w:tc>
      </w:tr>
      <w:tr w:rsidR="00A74A43" w:rsidRPr="0089251B" w14:paraId="788F4B2F" w14:textId="77777777" w:rsidTr="00916771">
        <w:trPr>
          <w:trHeight w:val="300"/>
        </w:trPr>
        <w:tc>
          <w:tcPr>
            <w:tcW w:w="3119" w:type="dxa"/>
            <w:shd w:val="clear" w:color="auto" w:fill="FFFFFF"/>
            <w:hideMark/>
          </w:tcPr>
          <w:p w14:paraId="165583E9" w14:textId="77777777" w:rsidR="00A74A43" w:rsidRPr="0089251B" w:rsidRDefault="00A74A43" w:rsidP="0091677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 w:line="360" w:lineRule="auto"/>
              <w:ind w:left="176" w:hanging="176"/>
              <w:jc w:val="both"/>
              <w:rPr>
                <w:rFonts w:eastAsia="Arial Unicode MS" w:cs="Calibri"/>
                <w:b/>
                <w:bCs/>
                <w:color w:val="000000"/>
                <w:szCs w:val="18"/>
                <w:u w:color="000000"/>
                <w:bdr w:val="nil"/>
                <w:lang w:eastAsia="pl-PL"/>
              </w:rPr>
            </w:pPr>
            <w:r w:rsidRPr="0089251B">
              <w:rPr>
                <w:rFonts w:eastAsia="Arial Unicode MS" w:cs="Calibri"/>
                <w:b/>
                <w:bCs/>
                <w:color w:val="000000"/>
                <w:szCs w:val="18"/>
                <w:u w:color="000000"/>
                <w:bdr w:val="nil"/>
                <w:lang w:eastAsia="pl-PL"/>
              </w:rPr>
              <w:lastRenderedPageBreak/>
              <w:t>Rozporządzenie 269/2014</w:t>
            </w:r>
          </w:p>
        </w:tc>
        <w:tc>
          <w:tcPr>
            <w:tcW w:w="6582" w:type="dxa"/>
            <w:shd w:val="clear" w:color="auto" w:fill="FFFFFF"/>
          </w:tcPr>
          <w:p w14:paraId="69B24F0B" w14:textId="77777777" w:rsidR="00A74A43" w:rsidRPr="0089251B" w:rsidRDefault="00A74A43" w:rsidP="0091677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 w:line="360" w:lineRule="auto"/>
              <w:jc w:val="both"/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</w:pPr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t xml:space="preserve">Rozporządzenie Rady (UE) nr 269/2014 z dnia 17 marca 2014 r. w sprawie środków ograniczających w odniesieniu do działań podważających integralność terytorialną, suwerenność i niezależność Ukrainy lub im zagrażających (Dz. U. UE. L. z 2014 r. </w:t>
            </w:r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br/>
              <w:t xml:space="preserve">Nr 78, str. 6 z </w:t>
            </w:r>
            <w:proofErr w:type="spellStart"/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t>późn</w:t>
            </w:r>
            <w:proofErr w:type="spellEnd"/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t>. zm.);</w:t>
            </w:r>
          </w:p>
        </w:tc>
      </w:tr>
      <w:tr w:rsidR="00A74A43" w:rsidRPr="0089251B" w14:paraId="2EF71B8D" w14:textId="77777777" w:rsidTr="00916771">
        <w:trPr>
          <w:trHeight w:val="300"/>
        </w:trPr>
        <w:tc>
          <w:tcPr>
            <w:tcW w:w="3119" w:type="dxa"/>
            <w:shd w:val="clear" w:color="auto" w:fill="FFFFFF"/>
            <w:hideMark/>
          </w:tcPr>
          <w:p w14:paraId="2C444362" w14:textId="77777777" w:rsidR="00A74A43" w:rsidRPr="0089251B" w:rsidRDefault="00A74A43" w:rsidP="0091677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 w:line="360" w:lineRule="auto"/>
              <w:ind w:left="176" w:hanging="176"/>
              <w:jc w:val="both"/>
              <w:rPr>
                <w:rFonts w:eastAsia="Arial Unicode MS" w:cs="Calibri"/>
                <w:b/>
                <w:bCs/>
                <w:color w:val="000000"/>
                <w:szCs w:val="18"/>
                <w:u w:color="000000"/>
                <w:bdr w:val="nil"/>
                <w:lang w:eastAsia="pl-PL"/>
              </w:rPr>
            </w:pPr>
            <w:r w:rsidRPr="0089251B">
              <w:rPr>
                <w:rFonts w:eastAsia="Arial Unicode MS" w:cs="Calibri"/>
                <w:b/>
                <w:bCs/>
                <w:color w:val="000000"/>
                <w:szCs w:val="18"/>
                <w:u w:color="000000"/>
                <w:bdr w:val="nil"/>
                <w:lang w:eastAsia="pl-PL"/>
              </w:rPr>
              <w:t>Rozporządzenie 765/2006</w:t>
            </w:r>
          </w:p>
        </w:tc>
        <w:tc>
          <w:tcPr>
            <w:tcW w:w="6582" w:type="dxa"/>
            <w:shd w:val="clear" w:color="auto" w:fill="FFFFFF"/>
            <w:hideMark/>
          </w:tcPr>
          <w:p w14:paraId="51D9E370" w14:textId="77777777" w:rsidR="00A74A43" w:rsidRPr="0089251B" w:rsidRDefault="00A74A43" w:rsidP="0091677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 w:line="360" w:lineRule="auto"/>
              <w:jc w:val="both"/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</w:pPr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t xml:space="preserve">Rozporządzenie Rady (WE) nr 765/2006 z dnia 18 maja 2006 r. dotyczące środków ograniczających w związku z sytuacją na Białorusi i udziałem Białorusi w agresji Rosji wobec Ukrainy (Dz. U. UE. L. z 2006 r. Nr 134, str. 1 z </w:t>
            </w:r>
            <w:proofErr w:type="spellStart"/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t>późn</w:t>
            </w:r>
            <w:proofErr w:type="spellEnd"/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t>. zm.);</w:t>
            </w:r>
          </w:p>
        </w:tc>
      </w:tr>
      <w:tr w:rsidR="00A74A43" w:rsidRPr="0089251B" w14:paraId="0443A8B7" w14:textId="77777777" w:rsidTr="00916771">
        <w:trPr>
          <w:trHeight w:val="480"/>
        </w:trPr>
        <w:tc>
          <w:tcPr>
            <w:tcW w:w="3119" w:type="dxa"/>
            <w:shd w:val="clear" w:color="auto" w:fill="FFFFFF"/>
            <w:hideMark/>
          </w:tcPr>
          <w:p w14:paraId="58E8BE39" w14:textId="77777777" w:rsidR="00A74A43" w:rsidRPr="0089251B" w:rsidRDefault="00A74A43" w:rsidP="0091677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 w:line="360" w:lineRule="auto"/>
              <w:ind w:left="176" w:hanging="176"/>
              <w:jc w:val="both"/>
              <w:rPr>
                <w:rFonts w:eastAsia="Arial Unicode MS" w:cs="Calibri"/>
                <w:b/>
                <w:bCs/>
                <w:color w:val="000000"/>
                <w:szCs w:val="18"/>
                <w:u w:color="000000"/>
                <w:bdr w:val="nil"/>
                <w:lang w:eastAsia="pl-PL"/>
              </w:rPr>
            </w:pPr>
            <w:r w:rsidRPr="0089251B">
              <w:rPr>
                <w:rFonts w:eastAsia="Arial Unicode MS" w:cs="Calibri"/>
                <w:b/>
                <w:bCs/>
                <w:color w:val="000000"/>
                <w:szCs w:val="18"/>
                <w:u w:color="000000"/>
                <w:bdr w:val="nil"/>
                <w:lang w:eastAsia="pl-PL"/>
              </w:rPr>
              <w:t>Rozporządzenie 833/2014</w:t>
            </w:r>
          </w:p>
        </w:tc>
        <w:tc>
          <w:tcPr>
            <w:tcW w:w="6582" w:type="dxa"/>
            <w:shd w:val="clear" w:color="auto" w:fill="FFFFFF"/>
            <w:hideMark/>
          </w:tcPr>
          <w:p w14:paraId="73D66DEA" w14:textId="77777777" w:rsidR="00A74A43" w:rsidRPr="0089251B" w:rsidRDefault="00A74A43" w:rsidP="0091677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 w:line="360" w:lineRule="auto"/>
              <w:jc w:val="both"/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</w:pPr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t xml:space="preserve">Rozporządzenie Rady (UE) nr 833/2014 z dnia 31 lipca 2014 r. dotyczące środków ograniczających w związku z działaniami Rosji destabilizującymi sytuację na Ukrainie (Dz. U. UE. L. z 2014 r. Nr 229, str. 1 z </w:t>
            </w:r>
            <w:proofErr w:type="spellStart"/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t>późn</w:t>
            </w:r>
            <w:proofErr w:type="spellEnd"/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t xml:space="preserve">. zm.); </w:t>
            </w:r>
          </w:p>
        </w:tc>
      </w:tr>
      <w:tr w:rsidR="00A74A43" w:rsidRPr="0089251B" w14:paraId="474BE47D" w14:textId="77777777" w:rsidTr="00916771">
        <w:trPr>
          <w:trHeight w:val="255"/>
        </w:trPr>
        <w:tc>
          <w:tcPr>
            <w:tcW w:w="3119" w:type="dxa"/>
            <w:shd w:val="clear" w:color="auto" w:fill="FFFFFF"/>
            <w:hideMark/>
          </w:tcPr>
          <w:p w14:paraId="32AC2DF4" w14:textId="77777777" w:rsidR="00A74A43" w:rsidRPr="0089251B" w:rsidRDefault="00A74A43" w:rsidP="0091677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 w:line="360" w:lineRule="auto"/>
              <w:ind w:left="176" w:hanging="176"/>
              <w:jc w:val="both"/>
              <w:rPr>
                <w:rFonts w:eastAsia="Arial Unicode MS" w:cs="Calibri"/>
                <w:b/>
                <w:bCs/>
                <w:color w:val="000000"/>
                <w:szCs w:val="18"/>
                <w:u w:color="000000"/>
                <w:bdr w:val="nil"/>
                <w:lang w:eastAsia="pl-PL"/>
              </w:rPr>
            </w:pPr>
            <w:r w:rsidRPr="0089251B">
              <w:rPr>
                <w:rFonts w:eastAsia="Arial Unicode MS" w:cs="Calibri"/>
                <w:b/>
                <w:bCs/>
                <w:color w:val="000000"/>
                <w:szCs w:val="18"/>
                <w:u w:color="000000"/>
                <w:bdr w:val="nil"/>
                <w:lang w:eastAsia="pl-PL"/>
              </w:rPr>
              <w:t>Ustawa o przeciwdziałaniu</w:t>
            </w:r>
          </w:p>
        </w:tc>
        <w:tc>
          <w:tcPr>
            <w:tcW w:w="6582" w:type="dxa"/>
            <w:shd w:val="clear" w:color="auto" w:fill="FFFFFF"/>
            <w:hideMark/>
          </w:tcPr>
          <w:p w14:paraId="126BA955" w14:textId="77777777" w:rsidR="00A74A43" w:rsidRPr="0089251B" w:rsidRDefault="00A74A43" w:rsidP="0091677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20" w:line="360" w:lineRule="auto"/>
              <w:jc w:val="both"/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</w:pPr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t xml:space="preserve">ustawa z dnia z dnia 13 kwietnia 2022 r. o szczególnych rozwiązaniach w zakresie przeciwdziałania wspieraniu agresji na Ukrainę oraz służących ochronie bezpieczeństwa narodowego (Dz. U. poz. 835 z </w:t>
            </w:r>
            <w:proofErr w:type="spellStart"/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t>późn</w:t>
            </w:r>
            <w:proofErr w:type="spellEnd"/>
            <w:r w:rsidRPr="0089251B">
              <w:rPr>
                <w:rFonts w:eastAsia="Arial Unicode MS" w:cs="Calibri"/>
                <w:color w:val="000000"/>
                <w:szCs w:val="18"/>
                <w:u w:color="000000"/>
                <w:bdr w:val="nil"/>
                <w:lang w:eastAsia="pl-PL"/>
              </w:rPr>
              <w:t>. zm.);</w:t>
            </w:r>
          </w:p>
        </w:tc>
      </w:tr>
    </w:tbl>
    <w:p w14:paraId="45897B9B" w14:textId="77777777" w:rsidR="00A74A43" w:rsidRPr="0089251B" w:rsidRDefault="00A74A43" w:rsidP="00A74A43">
      <w:pPr>
        <w:spacing w:after="120" w:line="360" w:lineRule="auto"/>
        <w:ind w:left="176" w:hanging="176"/>
        <w:jc w:val="both"/>
        <w:rPr>
          <w:rFonts w:eastAsia="Arial Unicode MS" w:cs="Calibri"/>
          <w:color w:val="000000"/>
          <w:szCs w:val="18"/>
          <w:u w:color="000000"/>
          <w:bdr w:val="nil"/>
          <w:lang w:eastAsia="pl-PL"/>
        </w:rPr>
      </w:pPr>
    </w:p>
    <w:p w14:paraId="4657CE3D" w14:textId="77777777" w:rsidR="00A74A43" w:rsidRPr="0089251B" w:rsidRDefault="00A74A43" w:rsidP="00A74A43">
      <w:pPr>
        <w:spacing w:after="120" w:line="360" w:lineRule="auto"/>
        <w:ind w:left="176" w:right="-575" w:hanging="176"/>
        <w:jc w:val="center"/>
        <w:rPr>
          <w:rFonts w:eastAsia="Arial Unicode MS" w:cs="Calibri"/>
          <w:b/>
          <w:color w:val="000000"/>
          <w:szCs w:val="18"/>
          <w:u w:color="000000"/>
          <w:bdr w:val="nil"/>
          <w:lang w:eastAsia="pl-PL"/>
        </w:rPr>
      </w:pPr>
      <w:r w:rsidRPr="0089251B">
        <w:rPr>
          <w:rFonts w:eastAsia="Arial Unicode MS" w:cs="Calibri"/>
          <w:b/>
          <w:color w:val="000000"/>
          <w:szCs w:val="18"/>
          <w:u w:color="000000"/>
          <w:bdr w:val="nil"/>
          <w:lang w:eastAsia="pl-PL"/>
        </w:rPr>
        <w:t>§ 1</w:t>
      </w:r>
    </w:p>
    <w:p w14:paraId="318FC756" w14:textId="77777777" w:rsidR="00A74A43" w:rsidRPr="0089251B" w:rsidRDefault="00A74A43" w:rsidP="00A74A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360" w:lineRule="auto"/>
        <w:ind w:left="426" w:right="-575" w:hanging="426"/>
        <w:jc w:val="both"/>
        <w:rPr>
          <w:rFonts w:eastAsia="Arial Unicode MS" w:cs="Calibri"/>
          <w:color w:val="000000"/>
          <w:szCs w:val="18"/>
          <w:u w:color="000000"/>
          <w:bdr w:val="nil"/>
          <w:lang w:eastAsia="pl-PL"/>
        </w:rPr>
      </w:pPr>
      <w:r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 xml:space="preserve">Celem postanowień niniejszego paragrafu jest niedopuszczenie, aby w realizacji Umowy brały udział Podmioty Objęte Sankcjami.   </w:t>
      </w:r>
    </w:p>
    <w:p w14:paraId="73DF0B86" w14:textId="3A8EBED2" w:rsidR="00A74A43" w:rsidRPr="0089251B" w:rsidRDefault="00135804" w:rsidP="00A74A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360" w:lineRule="auto"/>
        <w:ind w:left="426" w:right="-575" w:hanging="426"/>
        <w:jc w:val="both"/>
        <w:rPr>
          <w:rFonts w:eastAsia="Arial Unicode MS" w:cs="Calibri"/>
          <w:color w:val="000000"/>
          <w:szCs w:val="18"/>
          <w:u w:color="000000"/>
          <w:bdr w:val="nil"/>
          <w:lang w:eastAsia="pl-PL"/>
        </w:rPr>
      </w:pPr>
      <w:r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>Wykonawca</w:t>
      </w:r>
      <w:r w:rsidR="00A74A43"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 xml:space="preserve"> niniejszym oświadcza, że na dzień zawarcia Umowy nie jest Podmiotem Objętym Sankcjami.</w:t>
      </w:r>
    </w:p>
    <w:p w14:paraId="4ECA195A" w14:textId="129A182B" w:rsidR="00A74A43" w:rsidRPr="0089251B" w:rsidRDefault="00135804" w:rsidP="00A74A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360" w:lineRule="auto"/>
        <w:ind w:left="426" w:right="-575" w:hanging="426"/>
        <w:jc w:val="both"/>
        <w:rPr>
          <w:rFonts w:eastAsia="Arial Unicode MS" w:cs="Calibri"/>
          <w:color w:val="000000"/>
          <w:szCs w:val="18"/>
          <w:u w:color="000000"/>
          <w:bdr w:val="nil"/>
          <w:lang w:eastAsia="pl-PL"/>
        </w:rPr>
      </w:pPr>
      <w:r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>Wykonawca</w:t>
      </w:r>
      <w:r w:rsidR="00A74A43"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 xml:space="preserve"> zapewnia i gwarantuje, że w całym okresie realizacji Umowy nie będzie Podmiotem Objętym Sankcjami.</w:t>
      </w:r>
    </w:p>
    <w:p w14:paraId="3A3B6D55" w14:textId="687532AA" w:rsidR="00A74A43" w:rsidRPr="0089251B" w:rsidRDefault="00135804" w:rsidP="00A74A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360" w:lineRule="auto"/>
        <w:ind w:left="426" w:right="-575" w:hanging="426"/>
        <w:jc w:val="both"/>
        <w:rPr>
          <w:rFonts w:eastAsia="Arial Unicode MS" w:cs="Calibri"/>
          <w:color w:val="000000"/>
          <w:szCs w:val="18"/>
          <w:u w:color="000000"/>
          <w:bdr w:val="nil"/>
          <w:lang w:eastAsia="pl-PL"/>
        </w:rPr>
      </w:pPr>
      <w:r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>Wykonawca</w:t>
      </w:r>
      <w:r w:rsidR="00A74A43"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 xml:space="preserve"> zapewnia i gwarantuje, że w ramach wykonywania Umowy ani </w:t>
      </w:r>
      <w:r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>Wykonawca</w:t>
      </w:r>
      <w:r w:rsidR="00A74A43"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 xml:space="preserve"> ani żaden </w:t>
      </w:r>
      <w:r w:rsidR="00A74A43"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br/>
        <w:t xml:space="preserve">z jego podwykonawców nie naruszą żadnego, wynikającego z sankcji wprowadzonych na mocy przepisów obowiązujących w Rzeczypospolitej Polskiej, zakazu działania lub zaniechania, w 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ze </w:t>
      </w:r>
      <w:r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>Zamawiającym</w:t>
      </w:r>
      <w:r w:rsidR="00A74A43"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 xml:space="preserve"> oraz zagwarantować przestrzeganie tych sankcji przez </w:t>
      </w:r>
      <w:r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 xml:space="preserve">Wykonawcę </w:t>
      </w:r>
      <w:r w:rsidR="00A74A43"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>i jego podwykonawców.</w:t>
      </w:r>
    </w:p>
    <w:p w14:paraId="14DE3557" w14:textId="49DCD5F5" w:rsidR="00A74A43" w:rsidRPr="0089251B" w:rsidRDefault="00135804" w:rsidP="00A74A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360" w:lineRule="auto"/>
        <w:ind w:left="426" w:right="-575" w:hanging="426"/>
        <w:jc w:val="both"/>
        <w:rPr>
          <w:rFonts w:eastAsia="Arial Unicode MS" w:cs="Calibri"/>
          <w:color w:val="000000"/>
          <w:szCs w:val="18"/>
          <w:u w:color="000000"/>
          <w:bdr w:val="nil"/>
          <w:lang w:eastAsia="pl-PL"/>
        </w:rPr>
      </w:pPr>
      <w:r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>Wykonawca</w:t>
      </w:r>
      <w:r w:rsidR="00A74A43"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 xml:space="preserve"> zapewnia i gwarantuje, że zawiadomi </w:t>
      </w:r>
      <w:r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>Zamawiającego</w:t>
      </w:r>
      <w:r w:rsidR="00A74A43"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 xml:space="preserve"> w sposób określony w pkt 6 niniejszego Załącznika, o każdej zmianie stanu rzeczy co do którego </w:t>
      </w:r>
      <w:r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>Wykonawca</w:t>
      </w:r>
      <w:r w:rsidR="00A74A43"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 xml:space="preserve"> złożył oświadczenie, o którym mowa w pkt 3 lub pkt 4 niniejszego Załącznika, a w szczególności, że zawiadomi </w:t>
      </w:r>
      <w:r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>Zamawiającego</w:t>
      </w:r>
      <w:r w:rsidR="00A74A43"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 xml:space="preserve"> jeżeli on lub jego podwykonawca stanie się Podmiotem Objętym Sankcjami lub innymi sankcjami jakie mogą zostać </w:t>
      </w:r>
      <w:r w:rsidR="00A74A43"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br/>
        <w:t>w przyszłości wprowadzone przez właściwe organy z powodu konfliktu zbrojnego w Ukrainie.</w:t>
      </w:r>
    </w:p>
    <w:p w14:paraId="2BB10DD1" w14:textId="03E5F31A" w:rsidR="00A74A43" w:rsidRPr="0089251B" w:rsidRDefault="00135804" w:rsidP="00A74A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360" w:lineRule="auto"/>
        <w:ind w:left="426" w:right="-575" w:hanging="426"/>
        <w:jc w:val="both"/>
        <w:rPr>
          <w:rFonts w:eastAsia="Arial Unicode MS" w:cs="Calibri"/>
          <w:color w:val="000000"/>
          <w:szCs w:val="18"/>
          <w:u w:color="000000"/>
          <w:bdr w:val="nil"/>
          <w:lang w:eastAsia="pl-PL"/>
        </w:rPr>
      </w:pPr>
      <w:r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>Wykonawca</w:t>
      </w:r>
      <w:r w:rsidR="00A74A43"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 xml:space="preserve"> dokona zawiadomienia, o którym mowa w pkt 5, w formie pisemnej oraz za pośrednictwem poczty elektronicznej, w terminie 3 (trzech) dni roboczych od dnia, w którym dowiedział się lub, przy dołożeniu najwyższej staranności, powinien dowiedzieć się o zaistnieniu podstaw do dokonania zawiadomienia.</w:t>
      </w:r>
    </w:p>
    <w:p w14:paraId="426BE224" w14:textId="6DBBFCA4" w:rsidR="00A74A43" w:rsidRPr="0089251B" w:rsidRDefault="00135804" w:rsidP="00A74A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360" w:lineRule="auto"/>
        <w:ind w:left="426" w:right="-575" w:hanging="426"/>
        <w:jc w:val="both"/>
        <w:rPr>
          <w:rFonts w:eastAsia="Arial Unicode MS" w:cs="Calibri"/>
          <w:color w:val="000000"/>
          <w:szCs w:val="18"/>
          <w:u w:color="000000"/>
          <w:bdr w:val="nil"/>
          <w:lang w:eastAsia="pl-PL"/>
        </w:rPr>
      </w:pPr>
      <w:r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>Zamawiający</w:t>
      </w:r>
      <w:r w:rsidR="00A74A43"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 xml:space="preserve"> może odstąpić od Umowy ze skutkiem natychmiastowym w każdym z następujących przypadków, tj. gdy:</w:t>
      </w:r>
    </w:p>
    <w:p w14:paraId="3FCF6967" w14:textId="19DF6D68" w:rsidR="00A74A43" w:rsidRPr="0089251B" w:rsidRDefault="00A74A43" w:rsidP="00A74A4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360" w:lineRule="auto"/>
        <w:ind w:left="709" w:right="-575" w:hanging="283"/>
        <w:jc w:val="both"/>
        <w:rPr>
          <w:rFonts w:eastAsia="Arial Unicode MS" w:cs="Calibri"/>
          <w:color w:val="000000"/>
          <w:szCs w:val="18"/>
          <w:u w:color="000000"/>
          <w:bdr w:val="nil"/>
          <w:lang w:eastAsia="pl-PL"/>
        </w:rPr>
      </w:pPr>
      <w:r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 xml:space="preserve">oświadczenia </w:t>
      </w:r>
      <w:r w:rsidR="00135804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 xml:space="preserve">Wykonawcy </w:t>
      </w:r>
      <w:r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>zawarte w pkt 2, 3 lub 4 niniejszego paragrafu lub oświadczenia jego podwykonawcy, okażą się nieprawdziwe,</w:t>
      </w:r>
    </w:p>
    <w:p w14:paraId="130B6498" w14:textId="09CB1A9D" w:rsidR="00A74A43" w:rsidRPr="0089251B" w:rsidRDefault="00135804" w:rsidP="00A74A4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360" w:lineRule="auto"/>
        <w:ind w:left="709" w:right="-575" w:hanging="283"/>
        <w:jc w:val="both"/>
        <w:rPr>
          <w:rFonts w:eastAsia="Arial Unicode MS" w:cs="Calibri"/>
          <w:color w:val="000000"/>
          <w:szCs w:val="18"/>
          <w:u w:color="000000"/>
          <w:bdr w:val="nil"/>
          <w:lang w:eastAsia="pl-PL"/>
        </w:rPr>
      </w:pPr>
      <w:r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>Wykonawca</w:t>
      </w:r>
      <w:r w:rsidR="00A74A43"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 xml:space="preserve"> naruszy zobowiązanie wynikające z pkt 4 niniejszego paragrafu, lub</w:t>
      </w:r>
    </w:p>
    <w:p w14:paraId="371EDC55" w14:textId="4C2342FF" w:rsidR="00A74A43" w:rsidRPr="0089251B" w:rsidRDefault="00135804" w:rsidP="00A74A4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360" w:lineRule="auto"/>
        <w:ind w:left="709" w:right="-575" w:hanging="283"/>
        <w:jc w:val="both"/>
        <w:rPr>
          <w:rFonts w:eastAsia="Arial Unicode MS" w:cs="Calibri"/>
          <w:color w:val="000000"/>
          <w:szCs w:val="18"/>
          <w:u w:color="000000"/>
          <w:bdr w:val="nil"/>
          <w:lang w:eastAsia="pl-PL"/>
        </w:rPr>
      </w:pPr>
      <w:r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>Wykonawca</w:t>
      </w:r>
      <w:r w:rsidR="00A74A43"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 xml:space="preserve"> nie złoży </w:t>
      </w:r>
      <w:r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>Zamawiającemu</w:t>
      </w:r>
      <w:r w:rsidR="00A74A43"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 xml:space="preserve"> oświadczenia, o którym mowa w pkt 5 niniejszego paragrafu</w:t>
      </w:r>
      <w:r w:rsidR="00A74A43"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br/>
        <w:t xml:space="preserve">i to pomimo ponownego wezwania </w:t>
      </w:r>
      <w:r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>Wykonawcy</w:t>
      </w:r>
      <w:r w:rsidR="00A74A43"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 xml:space="preserve"> do złożenia takiego oświadczenia i wyznaczenia na to dodatkowego terminu nie krótszego niż 3 (trzy) dni robocze.</w:t>
      </w:r>
    </w:p>
    <w:p w14:paraId="35F77CCD" w14:textId="6EB7F791" w:rsidR="00A74A43" w:rsidRDefault="00A74A43" w:rsidP="00A74A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360" w:lineRule="auto"/>
        <w:ind w:left="425" w:right="-575" w:hanging="425"/>
        <w:jc w:val="both"/>
        <w:rPr>
          <w:rFonts w:eastAsia="Arial Unicode MS" w:cs="Calibri"/>
          <w:color w:val="000000"/>
          <w:szCs w:val="18"/>
          <w:u w:color="000000"/>
          <w:bdr w:val="nil"/>
          <w:lang w:eastAsia="pl-PL"/>
        </w:rPr>
      </w:pPr>
      <w:r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 xml:space="preserve">Odstępując od </w:t>
      </w:r>
      <w:r w:rsidR="008F47F1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>U</w:t>
      </w:r>
      <w:r w:rsidR="008F47F1"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 xml:space="preserve">mowy </w:t>
      </w:r>
      <w:r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 xml:space="preserve">na podstawie pkt 7 niniejszego paragrafu PGE może wybrać, czy odstępuje od </w:t>
      </w:r>
      <w:r w:rsidR="008F47F1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>U</w:t>
      </w:r>
      <w:r w:rsidR="008F47F1"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 xml:space="preserve">mowy </w:t>
      </w:r>
      <w:r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 xml:space="preserve">ze skutkiem ex </w:t>
      </w:r>
      <w:proofErr w:type="spellStart"/>
      <w:r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>tunc</w:t>
      </w:r>
      <w:proofErr w:type="spellEnd"/>
      <w:r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 xml:space="preserve"> czy ex nunc oraz czy w przypadku odstąpienia ze skutkiem ex nunc, czy odstępuje w zakresie ca</w:t>
      </w:r>
      <w:r w:rsidRPr="0089251B">
        <w:rPr>
          <w:rFonts w:eastAsia="Malgun Gothic Semilight" w:cs="Calibri"/>
          <w:color w:val="000000"/>
          <w:szCs w:val="18"/>
          <w:u w:color="000000"/>
          <w:bdr w:val="nil"/>
          <w:lang w:eastAsia="pl-PL"/>
        </w:rPr>
        <w:t>ł</w:t>
      </w:r>
      <w:r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>ej części niewykonanej Umowy, czy tylko w określonym zakresie części niewykonanej umowy. PGE oznaczy swój wybór w tym zakresie w treści oświadczenia, o kt</w:t>
      </w:r>
      <w:r w:rsidRPr="0089251B">
        <w:rPr>
          <w:rFonts w:eastAsia="Malgun Gothic Semilight" w:cs="Calibri"/>
          <w:color w:val="000000"/>
          <w:szCs w:val="18"/>
          <w:u w:color="000000"/>
          <w:bdr w:val="nil"/>
          <w:lang w:eastAsia="pl-PL"/>
        </w:rPr>
        <w:t>ó</w:t>
      </w:r>
      <w:r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>rym mowa w pkt 7 powyżej.</w:t>
      </w:r>
    </w:p>
    <w:p w14:paraId="489CD0AB" w14:textId="484B6B44" w:rsidR="00372210" w:rsidRPr="00372210" w:rsidRDefault="00372210" w:rsidP="00372210">
      <w:pPr>
        <w:tabs>
          <w:tab w:val="left" w:pos="426"/>
        </w:tabs>
        <w:suppressAutoHyphens/>
        <w:autoSpaceDN w:val="0"/>
        <w:spacing w:before="120" w:after="120"/>
        <w:ind w:left="425"/>
        <w:jc w:val="both"/>
        <w:textAlignment w:val="baseline"/>
        <w:rPr>
          <w:rFonts w:cstheme="minorHAnsi"/>
        </w:rPr>
      </w:pPr>
      <w:r>
        <w:rPr>
          <w:rFonts w:cstheme="minorHAnsi"/>
        </w:rPr>
        <w:tab/>
        <w:t>Zamawiający</w:t>
      </w:r>
      <w:r w:rsidRPr="00372210">
        <w:rPr>
          <w:rFonts w:cstheme="minorHAnsi"/>
        </w:rPr>
        <w:t xml:space="preserve"> może złożyć oświadczenie o odstąpieniu od umowy na tej podstawie w terminie </w:t>
      </w:r>
      <w:r>
        <w:rPr>
          <w:rFonts w:cstheme="minorHAnsi"/>
          <w:color w:val="000000"/>
        </w:rPr>
        <w:t xml:space="preserve">6 </w:t>
      </w:r>
      <w:r w:rsidRPr="00372210">
        <w:rPr>
          <w:rFonts w:cstheme="minorHAnsi"/>
        </w:rPr>
        <w:t xml:space="preserve">miesięcy od powzięcia wiadomości o okoliczności stanowiącej podstawę odstąpienia, nie później jednak niż do dnia zakończenia obowiązywania </w:t>
      </w:r>
      <w:r w:rsidR="008F47F1">
        <w:rPr>
          <w:rFonts w:cstheme="minorHAnsi"/>
        </w:rPr>
        <w:t>U</w:t>
      </w:r>
      <w:commentRangeStart w:id="0"/>
      <w:r w:rsidRPr="00372210">
        <w:rPr>
          <w:rFonts w:cstheme="minorHAnsi"/>
        </w:rPr>
        <w:t>mowy</w:t>
      </w:r>
      <w:commentRangeEnd w:id="0"/>
      <w:r>
        <w:rPr>
          <w:rStyle w:val="Odwoaniedokomentarza"/>
        </w:rPr>
        <w:commentReference w:id="0"/>
      </w:r>
      <w:r w:rsidR="008F47F1">
        <w:rPr>
          <w:rFonts w:cstheme="minorHAnsi"/>
        </w:rPr>
        <w:t>.</w:t>
      </w:r>
      <w:r w:rsidRPr="00372210">
        <w:rPr>
          <w:rFonts w:cstheme="minorHAnsi"/>
        </w:rPr>
        <w:t xml:space="preserve"> </w:t>
      </w:r>
    </w:p>
    <w:p w14:paraId="0747B253" w14:textId="77777777" w:rsidR="00372210" w:rsidRPr="0089251B" w:rsidRDefault="00372210" w:rsidP="00372210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360" w:lineRule="auto"/>
        <w:ind w:left="426" w:right="-575"/>
        <w:jc w:val="both"/>
        <w:rPr>
          <w:rFonts w:eastAsia="Arial Unicode MS" w:cs="Calibri"/>
          <w:color w:val="000000"/>
          <w:szCs w:val="18"/>
          <w:u w:color="000000"/>
          <w:bdr w:val="nil"/>
          <w:lang w:eastAsia="pl-PL"/>
        </w:rPr>
      </w:pPr>
    </w:p>
    <w:p w14:paraId="727B88BB" w14:textId="485B525A" w:rsidR="00A74A43" w:rsidRPr="0089251B" w:rsidRDefault="00A74A43" w:rsidP="00A74A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360" w:lineRule="auto"/>
        <w:ind w:left="426" w:right="-575" w:hanging="426"/>
        <w:jc w:val="both"/>
        <w:rPr>
          <w:rFonts w:eastAsia="Arial Unicode MS" w:cs="Calibri"/>
          <w:color w:val="000000"/>
          <w:szCs w:val="18"/>
          <w:u w:color="000000"/>
          <w:bdr w:val="nil"/>
          <w:lang w:eastAsia="pl-PL"/>
        </w:rPr>
      </w:pPr>
      <w:r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 xml:space="preserve">Złożenie przez </w:t>
      </w:r>
      <w:r w:rsidR="00135804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>Zamawiającego</w:t>
      </w:r>
      <w:r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 xml:space="preserve"> oświadczenia o odstąpieniu od Umowy, na podstawie postanowień niniejszego Załącznika, stanowi odstąpienie od Umowy z przyczyn leżących po stronie </w:t>
      </w:r>
      <w:r w:rsidR="00135804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>Wykonawcy</w:t>
      </w:r>
      <w:r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>.</w:t>
      </w:r>
    </w:p>
    <w:p w14:paraId="083959FC" w14:textId="77777777" w:rsidR="00A74A43" w:rsidRPr="0089251B" w:rsidRDefault="00A74A43" w:rsidP="00A74A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360" w:lineRule="auto"/>
        <w:ind w:left="426" w:right="-575" w:hanging="426"/>
        <w:jc w:val="both"/>
        <w:rPr>
          <w:rFonts w:eastAsia="Arial Unicode MS" w:cs="Calibri"/>
          <w:color w:val="000000"/>
          <w:szCs w:val="18"/>
          <w:u w:color="000000"/>
          <w:bdr w:val="nil"/>
          <w:lang w:eastAsia="pl-PL"/>
        </w:rPr>
      </w:pPr>
      <w:r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>W przypadku odstąpienia od Umowy na podstawie postanowień niniejszego paragraf</w:t>
      </w:r>
      <w:r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>u</w:t>
      </w:r>
      <w:r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 xml:space="preserve"> zastosowanie znajdują postanowienia Umowy dotyczące skutków odstąpienia Umowy i postępowania po odstąpieniu od Umowy. </w:t>
      </w:r>
    </w:p>
    <w:p w14:paraId="1B3DC954" w14:textId="602D69A2" w:rsidR="00A74A43" w:rsidRPr="0089251B" w:rsidRDefault="00A74A43" w:rsidP="00A74A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360" w:lineRule="auto"/>
        <w:ind w:left="426" w:right="-575" w:hanging="426"/>
        <w:jc w:val="both"/>
        <w:rPr>
          <w:rFonts w:eastAsia="Arial Unicode MS" w:cs="Calibri"/>
          <w:color w:val="000000"/>
          <w:szCs w:val="18"/>
          <w:u w:color="000000"/>
          <w:bdr w:val="nil"/>
          <w:lang w:eastAsia="pl-PL"/>
        </w:rPr>
      </w:pPr>
      <w:r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 xml:space="preserve">W celu uniknięcia wątpliwości Strony potwierdzają, że naruszenie zobowiązań, o których mowa w pkt 3 - 6 niniejszego paragrafu ma charakter odpowiedzialności gwarancyjnej, </w:t>
      </w:r>
      <w:r w:rsidR="00135804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>Wykonawca</w:t>
      </w:r>
      <w:r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 xml:space="preserve"> odpowiada względem </w:t>
      </w:r>
      <w:r w:rsidR="00135804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>Zamawiającego</w:t>
      </w:r>
      <w:r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 xml:space="preserve"> za zachowania własne oraz podwykonawców, a wypowiedzenie Umowy na podstawie niniejszego Załącznika nie ma wpływu na zobowiązania </w:t>
      </w:r>
      <w:r w:rsidR="00135804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>Wykonawcy</w:t>
      </w:r>
      <w:r w:rsidRPr="0089251B">
        <w:rPr>
          <w:rFonts w:eastAsia="Arial Unicode MS" w:cs="Calibri"/>
          <w:color w:val="000000"/>
          <w:szCs w:val="18"/>
          <w:u w:color="000000"/>
          <w:bdr w:val="nil"/>
          <w:lang w:eastAsia="pl-PL"/>
        </w:rPr>
        <w:t xml:space="preserve"> wynikające z rękojmi za wady i gwarancji jakości, a także nie ma wpływu na dalsze obowiązywanie tej części zapisów Umowy, które z uwagi na swój cel obowiązują dłużej niż sama Umowa (w szczególności dotyczy przestrzegania klauzuli poufności, poufności danych osobowych, nabytych majątkowych praw autorskich, uprawnień licencyjnych).</w:t>
      </w:r>
    </w:p>
    <w:p w14:paraId="2C615882" w14:textId="77777777" w:rsidR="00A74A43" w:rsidRPr="0089251B" w:rsidRDefault="00A74A43" w:rsidP="00A74A4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eastAsia="Arial Unicode MS" w:cs="Calibri"/>
          <w:b/>
          <w:bCs/>
          <w:color w:val="000000"/>
          <w:u w:color="000000"/>
          <w:bdr w:val="nil"/>
          <w:lang w:eastAsia="pl-PL"/>
        </w:rPr>
      </w:pPr>
    </w:p>
    <w:p w14:paraId="2D8D4786" w14:textId="77777777" w:rsidR="00A74A43" w:rsidRPr="0089251B" w:rsidRDefault="00A74A43" w:rsidP="00A74A4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eastAsia="Arial Unicode MS" w:cs="Calibri"/>
          <w:b/>
          <w:bCs/>
          <w:color w:val="000000"/>
          <w:u w:color="000000"/>
          <w:bdr w:val="nil"/>
          <w:lang w:eastAsia="pl-PL"/>
        </w:rPr>
      </w:pPr>
    </w:p>
    <w:p w14:paraId="1FFDA06C" w14:textId="5A67C09E" w:rsidR="00A74A43" w:rsidRDefault="00135804" w:rsidP="00A74A4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eastAsia="Arial Unicode MS" w:cs="Calibri"/>
          <w:b/>
          <w:bCs/>
          <w:color w:val="000000"/>
          <w:u w:color="000000"/>
          <w:bdr w:val="nil"/>
          <w:lang w:eastAsia="pl-PL"/>
        </w:rPr>
      </w:pPr>
      <w:r>
        <w:rPr>
          <w:rFonts w:eastAsia="Arial Unicode MS" w:cs="Calibri"/>
          <w:b/>
          <w:bCs/>
          <w:color w:val="000000"/>
          <w:u w:color="000000"/>
          <w:bdr w:val="nil"/>
          <w:lang w:eastAsia="pl-PL"/>
        </w:rPr>
        <w:t>WYKONAWCA</w:t>
      </w:r>
    </w:p>
    <w:p w14:paraId="60000050" w14:textId="77777777" w:rsidR="00A74A43" w:rsidRDefault="00A74A43" w:rsidP="00A74A4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eastAsia="Arial Unicode MS" w:cs="Calibri"/>
          <w:b/>
          <w:bCs/>
          <w:color w:val="000000"/>
          <w:u w:color="000000"/>
          <w:bdr w:val="nil"/>
          <w:lang w:eastAsia="pl-PL"/>
        </w:rPr>
      </w:pPr>
      <w:r>
        <w:rPr>
          <w:rFonts w:eastAsia="Arial Unicode MS" w:cs="Calibri"/>
          <w:b/>
          <w:bCs/>
          <w:color w:val="000000"/>
          <w:u w:color="000000"/>
          <w:bdr w:val="nil"/>
          <w:lang w:eastAsia="pl-PL"/>
        </w:rPr>
        <w:t>…………………………….</w:t>
      </w:r>
    </w:p>
    <w:p w14:paraId="4A79E9F3" w14:textId="77777777" w:rsidR="005C31DB" w:rsidRDefault="005C31DB"/>
    <w:sectPr w:rsidR="005C31D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ntos Paulina [PGE Baltica Sp. z o.o.]" w:date="2025-11-05T13:24:00Z" w:initials="PA">
    <w:p w14:paraId="74EE6997" w14:textId="77777777" w:rsidR="00372210" w:rsidRDefault="00372210" w:rsidP="00372210">
      <w:pPr>
        <w:pStyle w:val="Tekstkomentarza"/>
      </w:pPr>
      <w:r>
        <w:rPr>
          <w:rStyle w:val="Odwoaniedokomentarza"/>
        </w:rPr>
        <w:annotationRef/>
      </w:r>
      <w:r>
        <w:t>To jest fragment klauzuli, który został usunięty - celowo? Po rozmowie z klientem? Najczęściej wybieramy opcję zakończenia „nie później jednak niż do dnia zakończenia obowiązywania umowy”.</w:t>
      </w:r>
    </w:p>
    <w:p w14:paraId="01728BD3" w14:textId="77777777" w:rsidR="00372210" w:rsidRDefault="00372210" w:rsidP="00372210">
      <w:pPr>
        <w:pStyle w:val="Tekstkomentarza"/>
      </w:pPr>
      <w:r>
        <w:t>Termin 6 miesięcy to rekomendacja prawnego, którą kiedyś otrzymałam - czy dla Was to OK?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1728BD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9CA3A90" w16cex:dateUtc="2025-11-05T12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1728BD3" w16cid:durableId="09CA3A9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3DBF1" w14:textId="77777777" w:rsidR="00600F4E" w:rsidRDefault="00600F4E" w:rsidP="00372210">
      <w:pPr>
        <w:spacing w:after="0" w:line="240" w:lineRule="auto"/>
      </w:pPr>
      <w:r>
        <w:separator/>
      </w:r>
    </w:p>
  </w:endnote>
  <w:endnote w:type="continuationSeparator" w:id="0">
    <w:p w14:paraId="41E94413" w14:textId="77777777" w:rsidR="00600F4E" w:rsidRDefault="00600F4E" w:rsidP="0037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17B3B" w14:textId="77777777" w:rsidR="00EA352F" w:rsidRDefault="00EA35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B8A43" w14:textId="77777777" w:rsidR="00EA352F" w:rsidRDefault="00EA35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30264" w14:textId="77777777" w:rsidR="00EA352F" w:rsidRDefault="00EA35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00C8A" w14:textId="77777777" w:rsidR="00600F4E" w:rsidRDefault="00600F4E" w:rsidP="00372210">
      <w:pPr>
        <w:spacing w:after="0" w:line="240" w:lineRule="auto"/>
      </w:pPr>
      <w:r>
        <w:separator/>
      </w:r>
    </w:p>
  </w:footnote>
  <w:footnote w:type="continuationSeparator" w:id="0">
    <w:p w14:paraId="39C1EC11" w14:textId="77777777" w:rsidR="00600F4E" w:rsidRDefault="00600F4E" w:rsidP="00372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140E8" w14:textId="0035E3F7" w:rsidR="00372210" w:rsidRDefault="00EA352F">
    <w:pPr>
      <w:pStyle w:val="Nagwek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E7723B8" wp14:editId="3882D1B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296795" cy="368935"/>
              <wp:effectExtent l="0" t="0" r="0" b="12065"/>
              <wp:wrapNone/>
              <wp:docPr id="1577499222" name="Pole tekstowe 2" descr="Do użytku wewnętrznego w PGE Baltic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9679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8E1B2F" w14:textId="20B5956B" w:rsidR="00EA352F" w:rsidRPr="00EA352F" w:rsidRDefault="00EA352F" w:rsidP="00EA352F">
                          <w:pPr>
                            <w:spacing w:after="0"/>
                            <w:rPr>
                              <w:rFonts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EA352F">
                            <w:rPr>
                              <w:rFonts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PGE Baltica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7723B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 w PGE Baltica" style="position:absolute;margin-left:129.65pt;margin-top:0;width:180.85pt;height:29.0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jKpDwIAABsEAAAOAAAAZHJzL2Uyb0RvYy54bWysU1tv2jAUfp+0/2D5fSTQwUpEqFgrpkmo&#10;rUSnPhvHJpFsH8s2JOzX79gJ0HV7mvbinFvO5TvfWdx1WpGjcL4BU9LxKKdEGA5VY/Yl/fGy/nRL&#10;iQ/MVEyBESU9CU/vlh8/LFpbiAnUoCrhCCYxvmhtSesQbJFlntdCMz8CKww6JTjNAqpun1WOtZhd&#10;q2yS57OsBVdZB1x4j9aH3kmXKb+UgocnKb0IRJUUewvpdendxTdbLlixd8zWDR/aYP/QhWaNwaKX&#10;VA8sMHJwzR+pdMMdeJBhxEFnIGXDRZoBpxnn76bZ1syKNAuC4+0FJv//0vLH49Y+OxK6r9DhAiMg&#10;rfWFR2Ocp5NOxy92StCPEJ4usIkuEI7GyWQ++zKfUsLRdzO7nd9MY5rs+rd1PnwToEkUSupwLQkt&#10;dtz40IeeQ2IxA+tGqbQaZX4zYM5oya4tRil0u27oewfVCcdx0G/aW75usOaG+fDMHK4WJ0C6hid8&#10;pIK2pDBIlNTgfv7NHuMRcfRS0iJVSmqQy5So7wY3EVmVhPE8n+aouaRNpp/zqO3OQeag7wFZOMaD&#10;sDyJMTiosygd6Fdk8ypWQxczHGuWNJzF+9ATF6+Bi9UqBSGLLAsbs7U8po5gRSRfulfm7AB3wEU9&#10;wplMrHiHeh8b//R2dQiIfVpJBLZHc8AbGZiWOlxLpPhbPUVdb3r5CwAA//8DAFBLAwQUAAYACAAA&#10;ACEAGEg6mN4AAAAEAQAADwAAAGRycy9kb3ducmV2LnhtbEyPwWrDMBBE74X8g9hCLyWR3dDUdS2H&#10;UAg0hx6S1IfcZGtjm1orIymO/fdVe2kuC8MMM2+z9ag7NqB1rSEB8SIChlQZ1VIt4Ou4nSfAnJek&#10;ZGcIBUzoYJ3P7jKZKnOlPQ4HX7NQQi6VAhrv+5RzVzWopVuYHil4Z2O19EHamisrr6Fcd/wpilZc&#10;y5bCQiN7fG+w+j5ctIBitI+f29fdx1Se2mGKdsUyORdCPNyPmzdgHkf/H4Zf/IAOeWAqzYWUY52A&#10;8Ij/u8FbruIXYKWA5yQGnmf8Fj7/AQAA//8DAFBLAQItABQABgAIAAAAIQC2gziS/gAAAOEBAAAT&#10;AAAAAAAAAAAAAAAAAAAAAABbQ29udGVudF9UeXBlc10ueG1sUEsBAi0AFAAGAAgAAAAhADj9If/W&#10;AAAAlAEAAAsAAAAAAAAAAAAAAAAALwEAAF9yZWxzLy5yZWxzUEsBAi0AFAAGAAgAAAAhAMVWMqkP&#10;AgAAGwQAAA4AAAAAAAAAAAAAAAAALgIAAGRycy9lMm9Eb2MueG1sUEsBAi0AFAAGAAgAAAAhABhI&#10;OpjeAAAABAEAAA8AAAAAAAAAAAAAAAAAaQQAAGRycy9kb3ducmV2LnhtbFBLBQYAAAAABAAEAPMA&#10;AAB0BQAAAAA=&#10;" filled="f" stroked="f">
              <v:fill o:detectmouseclick="t"/>
              <v:textbox style="mso-fit-shape-to-text:t" inset="0,15pt,20pt,0">
                <w:txbxContent>
                  <w:p w14:paraId="028E1B2F" w14:textId="20B5956B" w:rsidR="00EA352F" w:rsidRPr="00EA352F" w:rsidRDefault="00EA352F" w:rsidP="00EA352F">
                    <w:pPr>
                      <w:spacing w:after="0"/>
                      <w:rPr>
                        <w:rFonts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EA352F">
                      <w:rPr>
                        <w:rFonts w:cs="Calibri"/>
                        <w:noProof/>
                        <w:color w:val="008000"/>
                        <w:sz w:val="20"/>
                        <w:szCs w:val="20"/>
                      </w:rPr>
                      <w:t>Do użytku wewnętrznego w PGE Baltica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39F85" w14:textId="590FB532" w:rsidR="00372210" w:rsidRDefault="00EA352F">
    <w:pPr>
      <w:pStyle w:val="Nagwek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AA727FD" wp14:editId="57574B23">
              <wp:simplePos x="901700" y="450850"/>
              <wp:positionH relativeFrom="page">
                <wp:align>right</wp:align>
              </wp:positionH>
              <wp:positionV relativeFrom="page">
                <wp:align>top</wp:align>
              </wp:positionV>
              <wp:extent cx="2296795" cy="368935"/>
              <wp:effectExtent l="0" t="0" r="0" b="12065"/>
              <wp:wrapNone/>
              <wp:docPr id="1549423983" name="Pole tekstowe 3" descr="Do użytku wewnętrznego w PGE Baltic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9679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3EA5CB" w14:textId="126B292D" w:rsidR="00EA352F" w:rsidRPr="00EA352F" w:rsidRDefault="00EA352F" w:rsidP="00EA352F">
                          <w:pPr>
                            <w:spacing w:after="0"/>
                            <w:rPr>
                              <w:rFonts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EA352F">
                            <w:rPr>
                              <w:rFonts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PGE Baltica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A727F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Do użytku wewnętrznego w PGE Baltica" style="position:absolute;margin-left:129.65pt;margin-top:0;width:180.85pt;height:29.0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sWtEgIAACIEAAAOAAAAZHJzL2Uyb0RvYy54bWysU11v2jAUfZ+0/2D5fSTQwUpEqFgrpkmo&#10;rUSnPhvHJpFsX8s2JOzX79oJ0HV7mvbi3K9c33vO8eKu04ochfMNmJKORzklwnCoGrMv6Y+X9adb&#10;SnxgpmIKjCjpSXh6t/z4YdHaQkygBlUJR7CJ8UVrS1qHYIss87wWmvkRWGEwKcFpFtB1+6xyrMXu&#10;WmWTPJ9lLbjKOuDCe4w+9Em6TP2lFDw8SelFIKqkOFtIp0vnLp7ZcsGKvWO2bvgwBvuHKTRrDF56&#10;afXAAiMH1/zRSjfcgQcZRhx0BlI2XKQdcJtx/m6bbc2sSLsgON5eYPL/ry1/PG7tsyOh+wodEhgB&#10;aa0vPAbjPp10On5xUoJ5hPB0gU10gXAMTibz2Zf5lBKOuZvZ7fxmGttk17+t8+GbAE2iUVKHtCS0&#10;2HHjQ196LomXGVg3SiVqlPktgD1jJLuOGK3Q7TrSVG/G30F1wq0c9IR7y9cNXr1hPjwzhwzjIqja&#10;8ISHVNCWFAaLkhrcz7/FYz0Cj1lKWlRMSQ1KmhL13SAhUVzJGM/zaY6eS95k+jmP3u5cZA76HlCM&#10;Y3wXliczFgd1NqUD/YqiXsXbMMUMxztLGs7mfej1i4+Ci9UqFaGYLAsbs7U8to6YRUBfulfm7IB6&#10;QL4e4awpVrwDv6+Nf3q7OgSkIDET8e3RHGBHISZuh0cTlf7WT1XXp738BQAA//8DAFBLAwQUAAYA&#10;CAAAACEAGEg6mN4AAAAEAQAADwAAAGRycy9kb3ducmV2LnhtbEyPwWrDMBBE74X8g9hCLyWR3dDU&#10;dS2HUAg0hx6S1IfcZGtjm1orIymO/fdVe2kuC8MMM2+z9ag7NqB1rSEB8SIChlQZ1VIt4Ou4nSfA&#10;nJekZGcIBUzoYJ3P7jKZKnOlPQ4HX7NQQi6VAhrv+5RzVzWopVuYHil4Z2O19EHamisrr6Fcd/wp&#10;ilZcy5bCQiN7fG+w+j5ctIBitI+f29fdx1Se2mGKdsUyORdCPNyPmzdgHkf/H4Zf/IAOeWAqzYWU&#10;Y52A8Ij/u8FbruIXYKWA5yQGnmf8Fj7/AQAA//8DAFBLAQItABQABgAIAAAAIQC2gziS/gAAAOEB&#10;AAATAAAAAAAAAAAAAAAAAAAAAABbQ29udGVudF9UeXBlc10ueG1sUEsBAi0AFAAGAAgAAAAhADj9&#10;If/WAAAAlAEAAAsAAAAAAAAAAAAAAAAALwEAAF9yZWxzLy5yZWxzUEsBAi0AFAAGAAgAAAAhAPma&#10;xa0SAgAAIgQAAA4AAAAAAAAAAAAAAAAALgIAAGRycy9lMm9Eb2MueG1sUEsBAi0AFAAGAAgAAAAh&#10;ABhIOpjeAAAABAEAAA8AAAAAAAAAAAAAAAAAbA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243EA5CB" w14:textId="126B292D" w:rsidR="00EA352F" w:rsidRPr="00EA352F" w:rsidRDefault="00EA352F" w:rsidP="00EA352F">
                    <w:pPr>
                      <w:spacing w:after="0"/>
                      <w:rPr>
                        <w:rFonts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EA352F">
                      <w:rPr>
                        <w:rFonts w:cs="Calibri"/>
                        <w:noProof/>
                        <w:color w:val="008000"/>
                        <w:sz w:val="20"/>
                        <w:szCs w:val="20"/>
                      </w:rPr>
                      <w:t>Do użytku wewnętrznego w PGE Baltica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81122" w14:textId="703BD6E9" w:rsidR="00372210" w:rsidRDefault="00EA352F">
    <w:pPr>
      <w:pStyle w:val="Nagwek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2B09FDB" wp14:editId="245BBB5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296795" cy="368935"/>
              <wp:effectExtent l="0" t="0" r="0" b="12065"/>
              <wp:wrapNone/>
              <wp:docPr id="833244939" name="Pole tekstowe 1" descr="Do użytku wewnętrznego w PGE Baltic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9679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19913F" w14:textId="60E5E165" w:rsidR="00EA352F" w:rsidRPr="00EA352F" w:rsidRDefault="00EA352F" w:rsidP="00EA352F">
                          <w:pPr>
                            <w:spacing w:after="0"/>
                            <w:rPr>
                              <w:rFonts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EA352F">
                            <w:rPr>
                              <w:rFonts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PGE Baltica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B09FDB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 w PGE Baltica" style="position:absolute;margin-left:129.65pt;margin-top:0;width:180.85pt;height:29.0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DbvFAIAACIEAAAOAAAAZHJzL2Uyb0RvYy54bWysU11v2jAUfZ+0/2D5fSTQwUpEqFgrpkmo&#10;rUSnPhvHJpFsX8s2JOzX79oh0HV7mvbi3K9c33vO8eKu04ochfMNmJKORzklwnCoGrMv6Y+X9adb&#10;SnxgpmIKjCjpSXh6t/z4YdHaQkygBlUJR7CJ8UVrS1qHYIss87wWmvkRWGEwKcFpFtB1+6xyrMXu&#10;WmWTPJ9lLbjKOuDCe4w+9Em6TP2lFDw8SelFIKqkOFtIp0vnLp7ZcsGKvWO2bvh5DPYPU2jWGLz0&#10;0uqBBUYOrvmjlW64Aw8yjDjoDKRsuEg74Dbj/N0225pZkXZBcLy9wOT/X1v+eNzaZ0dC9xU6JDAC&#10;0lpfeAzGfTrpdPzipATzCOHpApvoAuEYnEzmsy/zKSUcczez2/nNNLbJrn9b58M3AZpEo6QOaUlo&#10;sePGh750KImXGVg3SiVqlPktgD1jJLuOGK3Q7TrSVDjJMP4OqhNu5aAn3Fu+bvDqDfPhmTlkGBdB&#10;1YYnPKSCtqRwtiipwf38WzzWI/CYpaRFxZTUoKQpUd8NEhLFlYzxPJ/m6LnkTaaf8+jthiJz0PeA&#10;Yhzju7A8mbE4qMGUDvQrinoVb8MUMxzvLGkYzPvQ6xcfBRerVSpCMVkWNmZreWwdMYuAvnSvzNkz&#10;6gH5eoRBU6x4B35fG//0dnUISEFiJuLbo3mGHYWYuD0/mqj0t36quj7t5S8AAAD//wMAUEsDBBQA&#10;BgAIAAAAIQAYSDqY3gAAAAQBAAAPAAAAZHJzL2Rvd25yZXYueG1sTI/BasMwEETvhfyD2EIvJZHd&#10;0NR1LYdQCDSHHpLUh9xka2ObWisjKY7991V7aS4Lwwwzb7P1qDs2oHWtIQHxIgKGVBnVUi3g67id&#10;J8Ccl6RkZwgFTOhgnc/uMpkqc6U9Dgdfs1BCLpUCGu/7lHNXNailW5geKXhnY7X0QdqaKyuvoVx3&#10;/CmKVlzLlsJCI3t8b7D6Ply0gGK0j5/b193HVJ7aYYp2xTI5F0I83I+bN2AeR/8fhl/8gA55YCrN&#10;hZRjnYDwiP+7wVuu4hdgpYDnJAaeZ/wWPv8BAAD//wMAUEsBAi0AFAAGAAgAAAAhALaDOJL+AAAA&#10;4QEAABMAAAAAAAAAAAAAAAAAAAAAAFtDb250ZW50X1R5cGVzXS54bWxQSwECLQAUAAYACAAAACEA&#10;OP0h/9YAAACUAQAACwAAAAAAAAAAAAAAAAAvAQAAX3JlbHMvLnJlbHNQSwECLQAUAAYACAAAACEA&#10;qAw27xQCAAAiBAAADgAAAAAAAAAAAAAAAAAuAgAAZHJzL2Uyb0RvYy54bWxQSwECLQAUAAYACAAA&#10;ACEAGEg6mN4AAAAEAQAADwAAAAAAAAAAAAAAAABuBAAAZHJzL2Rvd25yZXYueG1sUEsFBgAAAAAE&#10;AAQA8wAAAHkFAAAAAA==&#10;" filled="f" stroked="f">
              <v:fill o:detectmouseclick="t"/>
              <v:textbox style="mso-fit-shape-to-text:t" inset="0,15pt,20pt,0">
                <w:txbxContent>
                  <w:p w14:paraId="2519913F" w14:textId="60E5E165" w:rsidR="00EA352F" w:rsidRPr="00EA352F" w:rsidRDefault="00EA352F" w:rsidP="00EA352F">
                    <w:pPr>
                      <w:spacing w:after="0"/>
                      <w:rPr>
                        <w:rFonts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EA352F">
                      <w:rPr>
                        <w:rFonts w:cs="Calibri"/>
                        <w:noProof/>
                        <w:color w:val="008000"/>
                        <w:sz w:val="20"/>
                        <w:szCs w:val="20"/>
                      </w:rPr>
                      <w:t>Do użytku wewnętrznego w PGE Baltica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2065105619">
    <w:abstractNumId w:val="1"/>
  </w:num>
  <w:num w:numId="2" w16cid:durableId="11743462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tos Paulina [PGE Baltica Sp. z o.o.]">
    <w15:presenceInfo w15:providerId="AD" w15:userId="S::Paulina.Antos@gkpge.pl::07ec7c04-f019-4f83-82b2-dd713f2630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C6F"/>
    <w:rsid w:val="00101C6F"/>
    <w:rsid w:val="00135804"/>
    <w:rsid w:val="001777F8"/>
    <w:rsid w:val="00177D29"/>
    <w:rsid w:val="00372210"/>
    <w:rsid w:val="005B0A3A"/>
    <w:rsid w:val="005C31DB"/>
    <w:rsid w:val="00600F4E"/>
    <w:rsid w:val="00793D15"/>
    <w:rsid w:val="007A6E4B"/>
    <w:rsid w:val="008E22EE"/>
    <w:rsid w:val="008F47F1"/>
    <w:rsid w:val="00A43196"/>
    <w:rsid w:val="00A71D10"/>
    <w:rsid w:val="00A74A43"/>
    <w:rsid w:val="00A9609F"/>
    <w:rsid w:val="00D36EE3"/>
    <w:rsid w:val="00E542E6"/>
    <w:rsid w:val="00EA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546C1"/>
  <w15:chartTrackingRefBased/>
  <w15:docId w15:val="{3DCA8203-C561-4D9C-B063-D1101D002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A4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A74A43"/>
    <w:pPr>
      <w:keepNext/>
      <w:pBdr>
        <w:top w:val="nil"/>
        <w:left w:val="nil"/>
        <w:bottom w:val="nil"/>
        <w:right w:val="nil"/>
        <w:between w:val="nil"/>
        <w:bar w:val="nil"/>
      </w:pBdr>
      <w:spacing w:after="120" w:line="360" w:lineRule="auto"/>
      <w:ind w:left="176" w:hanging="176"/>
      <w:jc w:val="center"/>
      <w:outlineLvl w:val="0"/>
    </w:pPr>
    <w:rPr>
      <w:rFonts w:eastAsia="Arial Unicode MS" w:cs="Calibri"/>
      <w:b/>
      <w:color w:val="000000"/>
      <w:szCs w:val="18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74A43"/>
    <w:rPr>
      <w:rFonts w:ascii="Calibri" w:eastAsia="Arial Unicode MS" w:hAnsi="Calibri" w:cs="Calibri"/>
      <w:b/>
      <w:color w:val="000000"/>
      <w:kern w:val="0"/>
      <w:szCs w:val="18"/>
      <w:u w:color="000000"/>
      <w:bdr w:val="nil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7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210"/>
    <w:rPr>
      <w:rFonts w:ascii="Calibri" w:eastAsia="Calibri" w:hAnsi="Calibri" w:cs="Times New Roman"/>
      <w:kern w:val="0"/>
      <w14:ligatures w14:val="none"/>
    </w:rPr>
  </w:style>
  <w:style w:type="paragraph" w:styleId="Poprawka">
    <w:name w:val="Revision"/>
    <w:hidden/>
    <w:uiPriority w:val="99"/>
    <w:semiHidden/>
    <w:rsid w:val="0037221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37221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722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22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2210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22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2210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A3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352F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6 - Klauzula Sankcyjna.docx</dmsv2BaseFileName>
    <dmsv2BaseDisplayName xmlns="http://schemas.microsoft.com/sharepoint/v3">Załącznik nr 6 - Klauzula Sankcyjna</dmsv2BaseDisplayName>
    <dmsv2SWPP2ObjectNumber xmlns="http://schemas.microsoft.com/sharepoint/v3" xsi:nil="true"/>
    <dmsv2SWPP2SumMD5 xmlns="http://schemas.microsoft.com/sharepoint/v3">957f73ba6a9feacdea3f1ff9164b3137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698664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23759524</dmsv2BaseClientSystemDocumentID>
    <dmsv2BaseModifiedByID xmlns="http://schemas.microsoft.com/sharepoint/v3">15400213</dmsv2BaseModifiedByID>
    <dmsv2BaseCreatedByID xmlns="http://schemas.microsoft.com/sharepoint/v3">15400213</dmsv2BaseCreatedByID>
    <dmsv2SWPP2ObjectDepartment xmlns="http://schemas.microsoft.com/sharepoint/v3">00000001000r0000000g0001</dmsv2SWPP2ObjectDepartment>
    <dmsv2SWPP2ObjectName xmlns="http://schemas.microsoft.com/sharepoint/v3">Wniosek</dmsv2SWPP2ObjectName>
    <_dlc_DocId xmlns="a19cb1c7-c5c7-46d4-85ae-d83685407bba">DPFVW34YURAE-150815970-22078</_dlc_DocId>
    <_dlc_DocIdUrl xmlns="a19cb1c7-c5c7-46d4-85ae-d83685407bba">
      <Url>https://swpp2.dms.gkpge.pl/sites/40/_layouts/15/DocIdRedir.aspx?ID=DPFVW34YURAE-150815970-22078</Url>
      <Description>DPFVW34YURAE-150815970-22078</Description>
    </_dlc_DocIdUrl>
  </documentManagement>
</p:properties>
</file>

<file path=customXml/itemProps1.xml><?xml version="1.0" encoding="utf-8"?>
<ds:datastoreItem xmlns:ds="http://schemas.openxmlformats.org/officeDocument/2006/customXml" ds:itemID="{F0CAC765-8E1F-4965-A0A9-2966F5F447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6889A8-0721-440D-B17A-32729CFB32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F6F314-9F52-4100-9036-C2D8F5DD570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D86ACC4-D36F-4FF4-8FB7-CDA982E732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1052</Words>
  <Characters>6316</Characters>
  <Application>Microsoft Office Word</Application>
  <DocSecurity>0</DocSecurity>
  <Lines>52</Lines>
  <Paragraphs>14</Paragraphs>
  <ScaleCrop>false</ScaleCrop>
  <Company>PGE Systemy</Company>
  <LinksUpToDate>false</LinksUpToDate>
  <CharactersWithSpaces>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Charzyński Adrian [PGE S.A.]</dc:creator>
  <cp:keywords/>
  <dc:description/>
  <cp:lastModifiedBy>Pienig Marta [PGE Baltica Sp. z o.o.]</cp:lastModifiedBy>
  <cp:revision>5</cp:revision>
  <dcterms:created xsi:type="dcterms:W3CDTF">2025-11-19T20:18:00Z</dcterms:created>
  <dcterms:modified xsi:type="dcterms:W3CDTF">2025-11-21T09:27:00Z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ClassificationContentMarkingHeaderShapeIds">
    <vt:lpwstr>31aa4f0b,5e06ba56,5c5a556f</vt:lpwstr>
  </property>
  <property fmtid="{D5CDD505-2E9C-101B-9397-08002B2CF9AE}" pid="4" name="ClassificationContentMarkingHeaderFontProps">
    <vt:lpwstr>#008000,10,Calibri</vt:lpwstr>
  </property>
  <property fmtid="{D5CDD505-2E9C-101B-9397-08002B2CF9AE}" pid="5" name="ClassificationContentMarkingHeaderText">
    <vt:lpwstr>Do użytku wewnętrznego w PGE Baltica</vt:lpwstr>
  </property>
  <property fmtid="{D5CDD505-2E9C-101B-9397-08002B2CF9AE}" pid="6" name="_dlc_DocIdItemGuid">
    <vt:lpwstr>0dc994a6-fe0c-48aa-a474-bd31a423d879</vt:lpwstr>
  </property>
  <property fmtid="{D5CDD505-2E9C-101B-9397-08002B2CF9AE}" pid="7" name="MSIP_Label_26b1c35f-78c7-4bc1-9502-8d72e31933ef_Enabled">
    <vt:lpwstr>true</vt:lpwstr>
  </property>
  <property fmtid="{D5CDD505-2E9C-101B-9397-08002B2CF9AE}" pid="8" name="MSIP_Label_26b1c35f-78c7-4bc1-9502-8d72e31933ef_SetDate">
    <vt:lpwstr>2025-11-21T09:27:57Z</vt:lpwstr>
  </property>
  <property fmtid="{D5CDD505-2E9C-101B-9397-08002B2CF9AE}" pid="9" name="MSIP_Label_26b1c35f-78c7-4bc1-9502-8d72e31933ef_Method">
    <vt:lpwstr>Privileged</vt:lpwstr>
  </property>
  <property fmtid="{D5CDD505-2E9C-101B-9397-08002B2CF9AE}" pid="10" name="MSIP_Label_26b1c35f-78c7-4bc1-9502-8d72e31933ef_Name">
    <vt:lpwstr>C015-Wewnetrzne-w-Spolce</vt:lpwstr>
  </property>
  <property fmtid="{D5CDD505-2E9C-101B-9397-08002B2CF9AE}" pid="11" name="MSIP_Label_26b1c35f-78c7-4bc1-9502-8d72e31933ef_SiteId">
    <vt:lpwstr>e9895a11-04dc-4848-aa12-7fca9faefb60</vt:lpwstr>
  </property>
  <property fmtid="{D5CDD505-2E9C-101B-9397-08002B2CF9AE}" pid="12" name="MSIP_Label_26b1c35f-78c7-4bc1-9502-8d72e31933ef_ActionId">
    <vt:lpwstr>1ea9966a-023c-473a-b726-d4bec6e1fa32</vt:lpwstr>
  </property>
  <property fmtid="{D5CDD505-2E9C-101B-9397-08002B2CF9AE}" pid="13" name="MSIP_Label_26b1c35f-78c7-4bc1-9502-8d72e31933ef_ContentBits">
    <vt:lpwstr>1</vt:lpwstr>
  </property>
</Properties>
</file>